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54" w:rsidRPr="00F52754" w:rsidRDefault="00F52754" w:rsidP="00F52754">
      <w:pPr>
        <w:rPr>
          <w:b/>
          <w:sz w:val="22"/>
          <w:szCs w:val="22"/>
          <w:lang w:eastAsia="en-US"/>
        </w:rPr>
      </w:pPr>
      <w:r w:rsidRPr="00F52754">
        <w:rPr>
          <w:b/>
          <w:sz w:val="22"/>
          <w:szCs w:val="22"/>
          <w:lang w:eastAsia="en-US"/>
        </w:rPr>
        <w:t>The reliefs and support being offer</w:t>
      </w:r>
      <w:r w:rsidRPr="00F52754">
        <w:rPr>
          <w:b/>
          <w:sz w:val="22"/>
          <w:szCs w:val="22"/>
          <w:lang w:eastAsia="en-US"/>
        </w:rPr>
        <w:t>ed</w:t>
      </w:r>
      <w:r w:rsidRPr="00F52754">
        <w:rPr>
          <w:b/>
          <w:sz w:val="22"/>
          <w:szCs w:val="22"/>
          <w:lang w:eastAsia="en-US"/>
        </w:rPr>
        <w:t xml:space="preserve"> to businesses is still being clarified by HMRC, but below is our understanding of some of the key aspects of support to businesses</w:t>
      </w:r>
      <w:r>
        <w:rPr>
          <w:b/>
          <w:sz w:val="22"/>
          <w:szCs w:val="22"/>
          <w:lang w:eastAsia="en-US"/>
        </w:rPr>
        <w:t>.</w:t>
      </w:r>
      <w:bookmarkStart w:id="0" w:name="_GoBack"/>
      <w:bookmarkEnd w:id="0"/>
    </w:p>
    <w:p w:rsidR="00F52754" w:rsidRDefault="00F52754" w:rsidP="00F52754">
      <w:pPr>
        <w:rPr>
          <w:b/>
          <w:bCs/>
          <w:sz w:val="22"/>
          <w:szCs w:val="22"/>
          <w:lang w:eastAsia="en-US"/>
        </w:rPr>
      </w:pPr>
    </w:p>
    <w:p w:rsidR="00F52754" w:rsidRDefault="00F52754" w:rsidP="00F52754">
      <w:pPr>
        <w:rPr>
          <w:b/>
          <w:bCs/>
          <w:sz w:val="22"/>
          <w:szCs w:val="22"/>
          <w:lang w:eastAsia="en-US"/>
        </w:rPr>
      </w:pPr>
      <w:r>
        <w:rPr>
          <w:b/>
          <w:bCs/>
          <w:sz w:val="22"/>
          <w:szCs w:val="22"/>
          <w:lang w:eastAsia="en-US"/>
        </w:rPr>
        <w:t>VAT</w:t>
      </w:r>
    </w:p>
    <w:p w:rsidR="00F52754" w:rsidRDefault="00F52754" w:rsidP="00F52754">
      <w:pPr>
        <w:rPr>
          <w:sz w:val="22"/>
          <w:szCs w:val="22"/>
          <w:lang w:eastAsia="en-US"/>
        </w:rPr>
      </w:pPr>
    </w:p>
    <w:p w:rsidR="00F52754" w:rsidRDefault="00F52754" w:rsidP="00F52754">
      <w:pPr>
        <w:rPr>
          <w:b/>
          <w:bCs/>
          <w:i/>
          <w:iCs/>
          <w:color w:val="FF0000"/>
          <w:sz w:val="22"/>
          <w:szCs w:val="22"/>
          <w:lang w:eastAsia="en-US"/>
        </w:rPr>
      </w:pPr>
      <w:r>
        <w:rPr>
          <w:b/>
          <w:bCs/>
          <w:i/>
          <w:iCs/>
          <w:color w:val="FF0000"/>
          <w:sz w:val="22"/>
          <w:szCs w:val="22"/>
          <w:lang w:eastAsia="en-US"/>
        </w:rPr>
        <w:t>Do I need to cancel my VAT direct Debit?</w:t>
      </w:r>
    </w:p>
    <w:p w:rsidR="00F52754" w:rsidRDefault="00F52754" w:rsidP="00F52754">
      <w:pPr>
        <w:rPr>
          <w:sz w:val="22"/>
          <w:szCs w:val="22"/>
          <w:lang w:eastAsia="en-US"/>
        </w:rPr>
      </w:pPr>
      <w:r>
        <w:rPr>
          <w:sz w:val="22"/>
          <w:szCs w:val="22"/>
          <w:lang w:eastAsia="en-US"/>
        </w:rPr>
        <w:t>To take advantage of the deferral of VAT falling due for payment in the period 20</w:t>
      </w:r>
      <w:r>
        <w:rPr>
          <w:sz w:val="22"/>
          <w:szCs w:val="22"/>
          <w:vertAlign w:val="superscript"/>
          <w:lang w:eastAsia="en-US"/>
        </w:rPr>
        <w:t>th</w:t>
      </w:r>
      <w:r>
        <w:rPr>
          <w:sz w:val="22"/>
          <w:szCs w:val="22"/>
          <w:lang w:eastAsia="en-US"/>
        </w:rPr>
        <w:t xml:space="preserve"> March to 30</w:t>
      </w:r>
      <w:r>
        <w:rPr>
          <w:sz w:val="22"/>
          <w:szCs w:val="22"/>
          <w:vertAlign w:val="superscript"/>
          <w:lang w:eastAsia="en-US"/>
        </w:rPr>
        <w:t>th</w:t>
      </w:r>
      <w:r>
        <w:rPr>
          <w:sz w:val="22"/>
          <w:szCs w:val="22"/>
          <w:lang w:eastAsia="en-US"/>
        </w:rPr>
        <w:t xml:space="preserve"> June, clients will have to cancel their direct debits before the payment is due.</w:t>
      </w:r>
    </w:p>
    <w:p w:rsidR="00F52754" w:rsidRDefault="00F52754" w:rsidP="00F52754">
      <w:pPr>
        <w:rPr>
          <w:sz w:val="22"/>
          <w:szCs w:val="22"/>
          <w:lang w:eastAsia="en-US"/>
        </w:rPr>
      </w:pPr>
    </w:p>
    <w:p w:rsidR="00F52754" w:rsidRDefault="00F52754" w:rsidP="00F52754">
      <w:pPr>
        <w:rPr>
          <w:sz w:val="22"/>
          <w:szCs w:val="22"/>
          <w:lang w:eastAsia="en-US"/>
        </w:rPr>
      </w:pPr>
      <w:r>
        <w:rPr>
          <w:sz w:val="22"/>
          <w:szCs w:val="22"/>
          <w:lang w:eastAsia="en-US"/>
        </w:rPr>
        <w:t>These will then need to be re-instated by the clients before payment are due outside of this period.</w:t>
      </w:r>
    </w:p>
    <w:p w:rsidR="00F52754" w:rsidRDefault="00F52754" w:rsidP="00F52754">
      <w:pPr>
        <w:rPr>
          <w:sz w:val="22"/>
          <w:szCs w:val="22"/>
          <w:lang w:eastAsia="en-US"/>
        </w:rPr>
      </w:pPr>
    </w:p>
    <w:p w:rsidR="00F52754" w:rsidRDefault="00F52754" w:rsidP="00F52754">
      <w:pPr>
        <w:rPr>
          <w:sz w:val="22"/>
          <w:szCs w:val="22"/>
          <w:lang w:eastAsia="en-US"/>
        </w:rPr>
      </w:pPr>
      <w:r>
        <w:rPr>
          <w:sz w:val="22"/>
          <w:szCs w:val="22"/>
          <w:lang w:eastAsia="en-US"/>
        </w:rPr>
        <w:t>They will then have until 31 March 2021 for companies and 5</w:t>
      </w:r>
      <w:r>
        <w:rPr>
          <w:sz w:val="22"/>
          <w:szCs w:val="22"/>
          <w:vertAlign w:val="superscript"/>
          <w:lang w:eastAsia="en-US"/>
        </w:rPr>
        <w:t>th</w:t>
      </w:r>
      <w:r>
        <w:rPr>
          <w:sz w:val="22"/>
          <w:szCs w:val="22"/>
          <w:lang w:eastAsia="en-US"/>
        </w:rPr>
        <w:t xml:space="preserve"> April 2021 for unincorporated businesses to settle the amount due.</w:t>
      </w:r>
    </w:p>
    <w:p w:rsidR="00F52754" w:rsidRDefault="00F52754" w:rsidP="00F52754">
      <w:pPr>
        <w:rPr>
          <w:sz w:val="22"/>
          <w:szCs w:val="22"/>
          <w:lang w:eastAsia="en-US"/>
        </w:rPr>
      </w:pPr>
    </w:p>
    <w:p w:rsidR="00F52754" w:rsidRDefault="00F52754" w:rsidP="00F52754">
      <w:pPr>
        <w:rPr>
          <w:b/>
          <w:bCs/>
          <w:sz w:val="22"/>
          <w:szCs w:val="22"/>
          <w:lang w:eastAsia="en-US"/>
        </w:rPr>
      </w:pPr>
      <w:r>
        <w:rPr>
          <w:b/>
          <w:bCs/>
          <w:sz w:val="22"/>
          <w:szCs w:val="22"/>
          <w:lang w:eastAsia="en-US"/>
        </w:rPr>
        <w:t>Company accounts filing extension</w:t>
      </w:r>
    </w:p>
    <w:p w:rsidR="00F52754" w:rsidRDefault="00F52754" w:rsidP="00F52754">
      <w:pPr>
        <w:rPr>
          <w:sz w:val="22"/>
          <w:szCs w:val="22"/>
          <w:lang w:eastAsia="en-US"/>
        </w:rPr>
      </w:pPr>
    </w:p>
    <w:p w:rsidR="00F52754" w:rsidRDefault="00F52754" w:rsidP="00F52754">
      <w:pPr>
        <w:rPr>
          <w:sz w:val="22"/>
          <w:szCs w:val="22"/>
          <w:lang w:eastAsia="en-US"/>
        </w:rPr>
      </w:pPr>
      <w:r>
        <w:rPr>
          <w:sz w:val="22"/>
          <w:szCs w:val="22"/>
          <w:lang w:eastAsia="en-US"/>
        </w:rPr>
        <w:t xml:space="preserve">Companies House have confirmed that a 3 month extension for filing the year end company accounts can be applied for and citing issues around COVID-19 will result in an automatic and immediate extension. Full details can be found at </w:t>
      </w:r>
      <w:hyperlink r:id="rId4" w:history="1">
        <w:r>
          <w:rPr>
            <w:rStyle w:val="Hyperlink"/>
            <w:color w:val="0000FF"/>
            <w:sz w:val="22"/>
            <w:szCs w:val="22"/>
            <w:lang w:eastAsia="en-US"/>
          </w:rPr>
          <w:t>https://www.gov.uk/government/news/companies-to-receive-3-month-extension-period-to-file-accounts-during-covid-19</w:t>
        </w:r>
      </w:hyperlink>
      <w:r>
        <w:rPr>
          <w:sz w:val="22"/>
          <w:szCs w:val="22"/>
          <w:lang w:eastAsia="en-US"/>
        </w:rPr>
        <w:t>. The application process is made online and any client wishing us to submit this for them should contact us.</w:t>
      </w:r>
    </w:p>
    <w:p w:rsidR="00F52754" w:rsidRDefault="00F52754" w:rsidP="00F52754">
      <w:pPr>
        <w:rPr>
          <w:sz w:val="22"/>
          <w:szCs w:val="22"/>
          <w:lang w:eastAsia="en-US"/>
        </w:rPr>
      </w:pPr>
    </w:p>
    <w:p w:rsidR="00F52754" w:rsidRDefault="00F52754" w:rsidP="00F52754">
      <w:pPr>
        <w:rPr>
          <w:b/>
          <w:bCs/>
          <w:sz w:val="22"/>
          <w:szCs w:val="22"/>
          <w:lang w:eastAsia="en-US"/>
        </w:rPr>
      </w:pPr>
      <w:r>
        <w:rPr>
          <w:b/>
          <w:bCs/>
          <w:sz w:val="22"/>
          <w:szCs w:val="22"/>
          <w:lang w:eastAsia="en-US"/>
        </w:rPr>
        <w:t xml:space="preserve">Furlough workers - Coronavirus job retention scheme </w:t>
      </w:r>
    </w:p>
    <w:p w:rsidR="00F52754" w:rsidRDefault="00F52754" w:rsidP="00F52754">
      <w:pPr>
        <w:rPr>
          <w:sz w:val="22"/>
          <w:szCs w:val="22"/>
          <w:lang w:eastAsia="en-US"/>
        </w:rPr>
      </w:pPr>
    </w:p>
    <w:p w:rsidR="00F52754" w:rsidRDefault="00F52754" w:rsidP="00F52754">
      <w:pPr>
        <w:rPr>
          <w:b/>
          <w:bCs/>
          <w:i/>
          <w:iCs/>
          <w:color w:val="FF0000"/>
          <w:sz w:val="22"/>
          <w:szCs w:val="22"/>
          <w:lang w:eastAsia="en-US"/>
        </w:rPr>
      </w:pPr>
      <w:r>
        <w:rPr>
          <w:b/>
          <w:bCs/>
          <w:i/>
          <w:iCs/>
          <w:color w:val="FF0000"/>
          <w:sz w:val="22"/>
          <w:szCs w:val="22"/>
          <w:lang w:eastAsia="en-US"/>
        </w:rPr>
        <w:t xml:space="preserve">How will claims be assessed and processed? </w:t>
      </w:r>
    </w:p>
    <w:p w:rsidR="00F52754" w:rsidRDefault="00F52754" w:rsidP="00F52754">
      <w:pPr>
        <w:rPr>
          <w:sz w:val="22"/>
          <w:szCs w:val="22"/>
          <w:lang w:eastAsia="en-US"/>
        </w:rPr>
      </w:pPr>
      <w:r>
        <w:rPr>
          <w:sz w:val="22"/>
          <w:szCs w:val="22"/>
          <w:lang w:eastAsia="en-US"/>
        </w:rPr>
        <w:t xml:space="preserve">• Under the Coronavirus Job Retention Scheme, all employers in the UK will be able to access support to continue paying part of employees’ salaries who would otherwise have been laid off during the ongoing crisis. Furloughed workers are employees whose employers cannot cover staff costs due to coronavirus, and as such they have been asked to stop working but have not been made redundant. </w:t>
      </w:r>
    </w:p>
    <w:p w:rsidR="00F52754" w:rsidRDefault="00F52754" w:rsidP="00F52754">
      <w:pPr>
        <w:rPr>
          <w:sz w:val="22"/>
          <w:szCs w:val="22"/>
          <w:lang w:eastAsia="en-US"/>
        </w:rPr>
      </w:pPr>
      <w:r>
        <w:rPr>
          <w:sz w:val="22"/>
          <w:szCs w:val="22"/>
          <w:lang w:eastAsia="en-US"/>
        </w:rPr>
        <w:t xml:space="preserve">• The employer should discuss with affected employees and notify them (preferably in writing) that they have become ‘furloughed workers’. </w:t>
      </w:r>
    </w:p>
    <w:p w:rsidR="00F52754" w:rsidRDefault="00F52754" w:rsidP="00F52754">
      <w:pPr>
        <w:rPr>
          <w:sz w:val="22"/>
          <w:szCs w:val="22"/>
          <w:lang w:eastAsia="en-US"/>
        </w:rPr>
      </w:pPr>
      <w:r>
        <w:rPr>
          <w:sz w:val="22"/>
          <w:szCs w:val="22"/>
          <w:lang w:eastAsia="en-US"/>
        </w:rPr>
        <w:t xml:space="preserve">• The employer will need to submit information to HMRC about the employees that have been furloughed and their earnings via a new online portal. </w:t>
      </w:r>
    </w:p>
    <w:p w:rsidR="00F52754" w:rsidRDefault="00F52754" w:rsidP="00F52754">
      <w:pPr>
        <w:rPr>
          <w:sz w:val="22"/>
          <w:szCs w:val="22"/>
          <w:lang w:eastAsia="en-US"/>
        </w:rPr>
      </w:pPr>
      <w:r>
        <w:rPr>
          <w:sz w:val="22"/>
          <w:szCs w:val="22"/>
          <w:lang w:eastAsia="en-US"/>
        </w:rPr>
        <w:t xml:space="preserve">• To avoid fraud, there are expected to be cross-checks between the applications for grants against PAYE records for each employer. </w:t>
      </w:r>
    </w:p>
    <w:p w:rsidR="00F52754" w:rsidRDefault="00F52754" w:rsidP="00F52754">
      <w:pPr>
        <w:rPr>
          <w:sz w:val="22"/>
          <w:szCs w:val="22"/>
          <w:lang w:eastAsia="en-US"/>
        </w:rPr>
      </w:pPr>
      <w:r>
        <w:rPr>
          <w:sz w:val="22"/>
          <w:szCs w:val="22"/>
          <w:lang w:eastAsia="en-US"/>
        </w:rPr>
        <w:t xml:space="preserve">•Employers will be required to make one claim for the entire workforce, record how many workers are covered and will need to keep records. </w:t>
      </w:r>
    </w:p>
    <w:p w:rsidR="00F52754" w:rsidRDefault="00F52754" w:rsidP="00F52754">
      <w:pPr>
        <w:rPr>
          <w:sz w:val="22"/>
          <w:szCs w:val="22"/>
          <w:lang w:eastAsia="en-US"/>
        </w:rPr>
      </w:pPr>
    </w:p>
    <w:p w:rsidR="00F52754" w:rsidRDefault="00F52754" w:rsidP="00F52754">
      <w:pPr>
        <w:rPr>
          <w:b/>
          <w:bCs/>
          <w:i/>
          <w:iCs/>
          <w:color w:val="FF0000"/>
          <w:sz w:val="22"/>
          <w:szCs w:val="22"/>
          <w:lang w:eastAsia="en-US"/>
        </w:rPr>
      </w:pPr>
      <w:r>
        <w:rPr>
          <w:b/>
          <w:bCs/>
          <w:i/>
          <w:iCs/>
          <w:color w:val="FF0000"/>
          <w:sz w:val="22"/>
          <w:szCs w:val="22"/>
          <w:lang w:eastAsia="en-US"/>
        </w:rPr>
        <w:t xml:space="preserve">Will employers still have to pay Employers NIC? </w:t>
      </w:r>
    </w:p>
    <w:p w:rsidR="00F52754" w:rsidRDefault="00F52754" w:rsidP="00F52754">
      <w:pPr>
        <w:rPr>
          <w:sz w:val="22"/>
          <w:szCs w:val="22"/>
          <w:lang w:eastAsia="en-US"/>
        </w:rPr>
      </w:pPr>
      <w:r>
        <w:rPr>
          <w:sz w:val="22"/>
          <w:szCs w:val="22"/>
          <w:lang w:eastAsia="en-US"/>
        </w:rPr>
        <w:t xml:space="preserve">• HMRC has said it will clarify in due course whether employer NICs will be payable on these grants. Employees remain on the payroll deducting tax and employee national insurance under the pay as you earn (PAYE) system. </w:t>
      </w:r>
    </w:p>
    <w:p w:rsidR="00F52754" w:rsidRDefault="00F52754" w:rsidP="00F52754">
      <w:pPr>
        <w:rPr>
          <w:sz w:val="22"/>
          <w:szCs w:val="22"/>
          <w:lang w:eastAsia="en-US"/>
        </w:rPr>
      </w:pPr>
    </w:p>
    <w:p w:rsidR="00F52754" w:rsidRDefault="00F52754" w:rsidP="00F52754">
      <w:pPr>
        <w:rPr>
          <w:b/>
          <w:bCs/>
          <w:i/>
          <w:iCs/>
          <w:color w:val="FF0000"/>
          <w:sz w:val="22"/>
          <w:szCs w:val="22"/>
          <w:lang w:eastAsia="en-US"/>
        </w:rPr>
      </w:pPr>
      <w:r>
        <w:rPr>
          <w:b/>
          <w:bCs/>
          <w:i/>
          <w:iCs/>
          <w:color w:val="FF0000"/>
          <w:sz w:val="22"/>
          <w:szCs w:val="22"/>
          <w:lang w:eastAsia="en-US"/>
        </w:rPr>
        <w:t xml:space="preserve">Will agents be able to apply for these loans/grants on clients’ behalf? </w:t>
      </w:r>
    </w:p>
    <w:p w:rsidR="00F52754" w:rsidRDefault="00F52754" w:rsidP="00F52754">
      <w:pPr>
        <w:rPr>
          <w:sz w:val="22"/>
          <w:szCs w:val="22"/>
          <w:lang w:eastAsia="en-US"/>
        </w:rPr>
      </w:pPr>
      <w:r>
        <w:rPr>
          <w:sz w:val="22"/>
          <w:szCs w:val="22"/>
          <w:lang w:eastAsia="en-US"/>
        </w:rPr>
        <w:t>• HMRC is due to set out further details on the information required and the requirements for who is able to submit. The employer will need to submit information to HMRC about the employees that have been furloughed and their earnings. The submission will be through a new online portal which is expected before the end of April.</w:t>
      </w:r>
    </w:p>
    <w:p w:rsidR="00F52754" w:rsidRDefault="00F52754" w:rsidP="00F52754">
      <w:pPr>
        <w:rPr>
          <w:sz w:val="22"/>
          <w:szCs w:val="22"/>
          <w:lang w:eastAsia="en-US"/>
        </w:rPr>
      </w:pPr>
    </w:p>
    <w:p w:rsidR="00F52754" w:rsidRDefault="00F52754" w:rsidP="00F52754">
      <w:pPr>
        <w:rPr>
          <w:b/>
          <w:bCs/>
          <w:i/>
          <w:iCs/>
          <w:color w:val="FF0000"/>
          <w:sz w:val="22"/>
          <w:szCs w:val="22"/>
          <w:lang w:eastAsia="en-US"/>
        </w:rPr>
      </w:pPr>
      <w:r>
        <w:rPr>
          <w:b/>
          <w:bCs/>
          <w:i/>
          <w:iCs/>
          <w:color w:val="FF0000"/>
          <w:sz w:val="22"/>
          <w:szCs w:val="22"/>
          <w:lang w:eastAsia="en-US"/>
        </w:rPr>
        <w:lastRenderedPageBreak/>
        <w:t xml:space="preserve">Do I have to pay staff in full to </w:t>
      </w:r>
      <w:proofErr w:type="gramStart"/>
      <w:r>
        <w:rPr>
          <w:b/>
          <w:bCs/>
          <w:i/>
          <w:iCs/>
          <w:color w:val="FF0000"/>
          <w:sz w:val="22"/>
          <w:szCs w:val="22"/>
          <w:lang w:eastAsia="en-US"/>
        </w:rPr>
        <w:t>qualify</w:t>
      </w:r>
      <w:proofErr w:type="gramEnd"/>
    </w:p>
    <w:p w:rsidR="00F52754" w:rsidRDefault="00F52754" w:rsidP="00F52754">
      <w:pPr>
        <w:rPr>
          <w:sz w:val="22"/>
          <w:szCs w:val="22"/>
          <w:lang w:eastAsia="en-US"/>
        </w:rPr>
      </w:pPr>
      <w:r>
        <w:rPr>
          <w:sz w:val="22"/>
          <w:szCs w:val="22"/>
          <w:lang w:eastAsia="en-US"/>
        </w:rPr>
        <w:t>• It is currently our understanding that paying the 20% of net wages not covered by the scheme is voluntary</w:t>
      </w:r>
    </w:p>
    <w:p w:rsidR="00F52754" w:rsidRDefault="00F52754" w:rsidP="00F52754">
      <w:pPr>
        <w:rPr>
          <w:sz w:val="22"/>
          <w:szCs w:val="22"/>
          <w:lang w:eastAsia="en-US"/>
        </w:rPr>
      </w:pPr>
    </w:p>
    <w:p w:rsidR="00F52754" w:rsidRDefault="00F52754" w:rsidP="00F52754">
      <w:pPr>
        <w:rPr>
          <w:sz w:val="22"/>
          <w:szCs w:val="22"/>
          <w:lang w:eastAsia="en-US"/>
        </w:rPr>
      </w:pPr>
    </w:p>
    <w:p w:rsidR="00F52754" w:rsidRDefault="00F52754" w:rsidP="00F52754">
      <w:pPr>
        <w:rPr>
          <w:b/>
          <w:bCs/>
          <w:sz w:val="22"/>
          <w:szCs w:val="22"/>
          <w:lang w:eastAsia="en-US"/>
        </w:rPr>
      </w:pPr>
      <w:r>
        <w:rPr>
          <w:b/>
          <w:bCs/>
          <w:sz w:val="22"/>
          <w:szCs w:val="22"/>
          <w:lang w:eastAsia="en-US"/>
        </w:rPr>
        <w:t xml:space="preserve">Income tax deferred payments </w:t>
      </w:r>
    </w:p>
    <w:p w:rsidR="00F52754" w:rsidRDefault="00F52754" w:rsidP="00F52754">
      <w:pPr>
        <w:rPr>
          <w:sz w:val="22"/>
          <w:szCs w:val="22"/>
          <w:lang w:eastAsia="en-US"/>
        </w:rPr>
      </w:pPr>
    </w:p>
    <w:p w:rsidR="00F52754" w:rsidRDefault="00F52754" w:rsidP="00F52754">
      <w:pPr>
        <w:rPr>
          <w:color w:val="FF0000"/>
          <w:sz w:val="22"/>
          <w:szCs w:val="22"/>
          <w:lang w:eastAsia="en-US"/>
        </w:rPr>
      </w:pPr>
      <w:r>
        <w:rPr>
          <w:b/>
          <w:bCs/>
          <w:i/>
          <w:iCs/>
          <w:color w:val="FF0000"/>
          <w:sz w:val="22"/>
          <w:szCs w:val="22"/>
          <w:lang w:eastAsia="en-US"/>
        </w:rPr>
        <w:t>Will anything change about requesting a deferred payment in July under this new regime?</w:t>
      </w:r>
      <w:r>
        <w:rPr>
          <w:color w:val="FF0000"/>
          <w:sz w:val="22"/>
          <w:szCs w:val="22"/>
          <w:lang w:eastAsia="en-US"/>
        </w:rPr>
        <w:t xml:space="preserve"> </w:t>
      </w:r>
    </w:p>
    <w:p w:rsidR="00F52754" w:rsidRDefault="00F52754" w:rsidP="00F52754">
      <w:pPr>
        <w:rPr>
          <w:sz w:val="22"/>
          <w:szCs w:val="22"/>
          <w:lang w:eastAsia="en-US"/>
        </w:rPr>
      </w:pPr>
      <w:r>
        <w:rPr>
          <w:sz w:val="22"/>
          <w:szCs w:val="22"/>
          <w:lang w:eastAsia="en-US"/>
        </w:rPr>
        <w:t xml:space="preserve">Deferral is automatic for self-employed. They can defer their income tax self-assessment second payment on account for 2019/20 due on 31 July 2020. It is deferred until 31 January 2021. </w:t>
      </w:r>
    </w:p>
    <w:p w:rsidR="00F52754" w:rsidRDefault="00F52754" w:rsidP="00F52754">
      <w:pPr>
        <w:rPr>
          <w:sz w:val="22"/>
          <w:szCs w:val="22"/>
          <w:lang w:eastAsia="en-US"/>
        </w:rPr>
      </w:pPr>
    </w:p>
    <w:p w:rsidR="00F52754" w:rsidRDefault="00F52754" w:rsidP="00F52754">
      <w:pPr>
        <w:rPr>
          <w:sz w:val="22"/>
          <w:szCs w:val="22"/>
          <w:lang w:eastAsia="en-US"/>
        </w:rPr>
      </w:pPr>
      <w:r>
        <w:rPr>
          <w:b/>
          <w:bCs/>
          <w:sz w:val="22"/>
          <w:szCs w:val="22"/>
          <w:lang w:eastAsia="en-US"/>
        </w:rPr>
        <w:t xml:space="preserve">Corporation Tax </w:t>
      </w:r>
    </w:p>
    <w:p w:rsidR="00F52754" w:rsidRDefault="00F52754" w:rsidP="00F52754">
      <w:pPr>
        <w:rPr>
          <w:sz w:val="22"/>
          <w:szCs w:val="22"/>
          <w:lang w:eastAsia="en-US"/>
        </w:rPr>
      </w:pPr>
    </w:p>
    <w:p w:rsidR="00F52754" w:rsidRDefault="00F52754" w:rsidP="00F52754">
      <w:pPr>
        <w:rPr>
          <w:color w:val="FF0000"/>
          <w:sz w:val="22"/>
          <w:szCs w:val="22"/>
          <w:lang w:eastAsia="en-US"/>
        </w:rPr>
      </w:pPr>
      <w:r>
        <w:rPr>
          <w:b/>
          <w:bCs/>
          <w:i/>
          <w:iCs/>
          <w:color w:val="FF0000"/>
          <w:sz w:val="22"/>
          <w:szCs w:val="22"/>
          <w:lang w:eastAsia="en-US"/>
        </w:rPr>
        <w:t>Will similar deferments be available for CT soon?</w:t>
      </w:r>
      <w:r>
        <w:rPr>
          <w:color w:val="FF0000"/>
          <w:sz w:val="22"/>
          <w:szCs w:val="22"/>
          <w:lang w:eastAsia="en-US"/>
        </w:rPr>
        <w:t xml:space="preserve"> </w:t>
      </w:r>
      <w:r>
        <w:rPr>
          <w:b/>
          <w:bCs/>
          <w:i/>
          <w:iCs/>
          <w:color w:val="FF0000"/>
          <w:sz w:val="22"/>
          <w:szCs w:val="22"/>
          <w:lang w:eastAsia="en-US"/>
        </w:rPr>
        <w:t>If so, how will they work?</w:t>
      </w:r>
    </w:p>
    <w:p w:rsidR="00F52754" w:rsidRDefault="00F52754" w:rsidP="00F52754">
      <w:pPr>
        <w:rPr>
          <w:sz w:val="22"/>
          <w:szCs w:val="22"/>
          <w:lang w:eastAsia="en-US"/>
        </w:rPr>
      </w:pPr>
      <w:r>
        <w:rPr>
          <w:sz w:val="22"/>
          <w:szCs w:val="22"/>
          <w:lang w:eastAsia="en-US"/>
        </w:rPr>
        <w:t>Deferral can be applied for under time to pay with HMRC on a case by case basis. They can be contacted on 0800 0159 559</w:t>
      </w:r>
    </w:p>
    <w:tbl>
      <w:tblPr>
        <w:tblW w:w="5000" w:type="pct"/>
        <w:tblCellSpacing w:w="0" w:type="dxa"/>
        <w:tblCellMar>
          <w:left w:w="0" w:type="dxa"/>
          <w:right w:w="0" w:type="dxa"/>
        </w:tblCellMar>
        <w:tblLook w:val="04A0" w:firstRow="1" w:lastRow="0" w:firstColumn="1" w:lastColumn="0" w:noHBand="0" w:noVBand="1"/>
      </w:tblPr>
      <w:tblGrid>
        <w:gridCol w:w="9026"/>
      </w:tblGrid>
      <w:tr w:rsidR="00F52754" w:rsidT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F52754">
              <w:trPr>
                <w:tblCellSpacing w:w="0" w:type="dxa"/>
              </w:trPr>
              <w:tc>
                <w:tcPr>
                  <w:tcW w:w="0" w:type="auto"/>
                  <w:tcMar>
                    <w:top w:w="150" w:type="dxa"/>
                    <w:left w:w="150" w:type="dxa"/>
                    <w:bottom w:w="150" w:type="dxa"/>
                    <w:right w:w="150" w:type="dxa"/>
                  </w:tcMar>
                  <w:hideMark/>
                </w:tcPr>
                <w:p w:rsidR="00F52754" w:rsidRDefault="00F52754">
                  <w:pPr>
                    <w:rPr>
                      <w:sz w:val="22"/>
                      <w:szCs w:val="22"/>
                      <w:lang w:eastAsia="en-US"/>
                    </w:rPr>
                  </w:pPr>
                </w:p>
              </w:tc>
            </w:tr>
          </w:tbl>
          <w:p w:rsidR="00F52754" w:rsidRDefault="00F52754">
            <w:pPr>
              <w:rPr>
                <w:rFonts w:ascii="Times New Roman" w:eastAsia="Times New Roman" w:hAnsi="Times New Roman" w:cs="Times New Roman"/>
              </w:rPr>
            </w:pPr>
          </w:p>
        </w:tc>
      </w:tr>
    </w:tbl>
    <w:p w:rsidR="00F52754" w:rsidRDefault="00F52754" w:rsidP="00F52754">
      <w:pP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2754" w:rsidT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5"/>
            </w:tblGrid>
            <w:tr w:rsidR="00F52754">
              <w:trPr>
                <w:tblCellSpacing w:w="0" w:type="dxa"/>
              </w:trPr>
              <w:tc>
                <w:tcPr>
                  <w:tcW w:w="0" w:type="auto"/>
                  <w:hideMark/>
                </w:tcPr>
                <w:p w:rsidR="00F52754" w:rsidRDefault="00F52754">
                  <w:pPr>
                    <w:rPr>
                      <w:color w:val="000001"/>
                      <w:sz w:val="22"/>
                      <w:szCs w:val="22"/>
                    </w:rPr>
                  </w:pPr>
                  <w:r>
                    <w:rPr>
                      <w:color w:val="000001"/>
                      <w:sz w:val="22"/>
                      <w:szCs w:val="22"/>
                    </w:rPr>
                    <w:br/>
                    <w:t>​Kind regards,</w:t>
                  </w:r>
                  <w:r>
                    <w:rPr>
                      <w:rFonts w:ascii="remialcxesans" w:hAnsi="remialcxesans"/>
                      <w:color w:val="FFFFFF"/>
                      <w:sz w:val="2"/>
                      <w:szCs w:val="2"/>
                    </w:rPr>
                    <w:t>​</w:t>
                  </w:r>
                  <w:r>
                    <w:rPr>
                      <w:color w:val="000001"/>
                      <w:sz w:val="22"/>
                      <w:szCs w:val="22"/>
                    </w:rPr>
                    <w:br/>
                    <w:t>​</w:t>
                  </w:r>
                </w:p>
              </w:tc>
            </w:tr>
          </w:tbl>
          <w:p w:rsidR="00F52754" w:rsidRDefault="00F52754">
            <w:pPr>
              <w:rPr>
                <w:rFonts w:ascii="Times New Roman" w:eastAsia="Times New Roman" w:hAnsi="Times New Roman" w:cs="Times New Roman"/>
              </w:rPr>
            </w:pPr>
          </w:p>
        </w:tc>
      </w:tr>
      <w:tr w:rsidR="00F52754" w:rsidT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0"/>
            </w:tblGrid>
            <w:tr w:rsidR="00F52754">
              <w:trPr>
                <w:tblCellSpacing w:w="0" w:type="dxa"/>
              </w:trPr>
              <w:tc>
                <w:tcPr>
                  <w:tcW w:w="0" w:type="auto"/>
                  <w:tcMar>
                    <w:top w:w="0" w:type="dxa"/>
                    <w:left w:w="0" w:type="dxa"/>
                    <w:bottom w:w="21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20"/>
                  </w:tblGrid>
                  <w:tr w:rsidR="00F52754">
                    <w:trPr>
                      <w:tblCellSpacing w:w="0" w:type="dxa"/>
                    </w:trPr>
                    <w:tc>
                      <w:tcPr>
                        <w:tcW w:w="0" w:type="auto"/>
                        <w:hideMark/>
                      </w:tcPr>
                      <w:p w:rsidR="00F52754" w:rsidRDefault="00F52754">
                        <w:pPr>
                          <w:rPr>
                            <w:color w:val="000001"/>
                            <w:sz w:val="22"/>
                            <w:szCs w:val="22"/>
                          </w:rPr>
                        </w:pPr>
                        <w:r>
                          <w:rPr>
                            <w:color w:val="000001"/>
                            <w:sz w:val="22"/>
                            <w:szCs w:val="22"/>
                          </w:rPr>
                          <w:t>Tony Rose</w:t>
                        </w:r>
                      </w:p>
                    </w:tc>
                  </w:tr>
                  <w:tr w:rsidR="00F52754">
                    <w:trPr>
                      <w:tblCellSpacing w:w="0" w:type="dxa"/>
                    </w:trPr>
                    <w:tc>
                      <w:tcPr>
                        <w:tcW w:w="0" w:type="auto"/>
                        <w:hideMark/>
                      </w:tcPr>
                      <w:p w:rsidR="00F52754" w:rsidRDefault="00F52754">
                        <w:pPr>
                          <w:rPr>
                            <w:color w:val="000001"/>
                            <w:sz w:val="22"/>
                            <w:szCs w:val="22"/>
                          </w:rPr>
                        </w:pPr>
                        <w:r>
                          <w:rPr>
                            <w:color w:val="000001"/>
                            <w:sz w:val="22"/>
                            <w:szCs w:val="22"/>
                          </w:rPr>
                          <w:t>Director</w:t>
                        </w:r>
                      </w:p>
                    </w:tc>
                  </w:tr>
                </w:tbl>
                <w:p w:rsidR="00F52754" w:rsidRDefault="00F52754">
                  <w:pPr>
                    <w:rPr>
                      <w:rFonts w:ascii="Times New Roman" w:eastAsia="Times New Roman" w:hAnsi="Times New Roman" w:cs="Times New Roman"/>
                    </w:rPr>
                  </w:pPr>
                </w:p>
              </w:tc>
            </w:tr>
          </w:tbl>
          <w:p w:rsidR="00F52754" w:rsidRDefault="00F52754">
            <w:pPr>
              <w:rPr>
                <w:rFonts w:ascii="Times New Roman" w:eastAsia="Times New Roman" w:hAnsi="Times New Roman" w:cs="Times New Roman"/>
              </w:rPr>
            </w:pPr>
          </w:p>
        </w:tc>
      </w:tr>
      <w:tr w:rsidR="00F52754" w:rsidT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44"/>
            </w:tblGrid>
            <w:tr w:rsidR="00F52754">
              <w:trPr>
                <w:tblCellSpacing w:w="0" w:type="dxa"/>
              </w:trPr>
              <w:tc>
                <w:tcPr>
                  <w:tcW w:w="0" w:type="auto"/>
                  <w:tcMar>
                    <w:top w:w="0" w:type="dxa"/>
                    <w:left w:w="0" w:type="dxa"/>
                    <w:bottom w:w="21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06"/>
                    <w:gridCol w:w="2438"/>
                  </w:tblGrid>
                  <w:tr w:rsidR="00F52754">
                    <w:trPr>
                      <w:tblCellSpacing w:w="0" w:type="dxa"/>
                    </w:trPr>
                    <w:tc>
                      <w:tcPr>
                        <w:tcW w:w="0" w:type="auto"/>
                        <w:hideMark/>
                      </w:tcPr>
                      <w:p w:rsidR="00F52754" w:rsidRDefault="00F52754">
                        <w:pPr>
                          <w:rPr>
                            <w:color w:val="808080"/>
                            <w:sz w:val="22"/>
                            <w:szCs w:val="22"/>
                          </w:rPr>
                        </w:pPr>
                        <w:r>
                          <w:rPr>
                            <w:color w:val="808080"/>
                            <w:sz w:val="22"/>
                            <w:szCs w:val="22"/>
                          </w:rPr>
                          <w:t>T: </w:t>
                        </w:r>
                      </w:p>
                    </w:tc>
                    <w:tc>
                      <w:tcPr>
                        <w:tcW w:w="0" w:type="auto"/>
                        <w:hideMark/>
                      </w:tcPr>
                      <w:p w:rsidR="00F52754" w:rsidRDefault="00F52754">
                        <w:pPr>
                          <w:rPr>
                            <w:color w:val="000001"/>
                            <w:sz w:val="22"/>
                            <w:szCs w:val="22"/>
                          </w:rPr>
                        </w:pPr>
                        <w:hyperlink r:id="rId5" w:tgtFrame="_blank" w:history="1">
                          <w:r>
                            <w:rPr>
                              <w:rStyle w:val="Strong"/>
                              <w:b w:val="0"/>
                              <w:bCs w:val="0"/>
                              <w:color w:val="000001"/>
                              <w:sz w:val="22"/>
                              <w:szCs w:val="22"/>
                            </w:rPr>
                            <w:t>01243 783 818</w:t>
                          </w:r>
                        </w:hyperlink>
                      </w:p>
                    </w:tc>
                  </w:tr>
                  <w:tr w:rsidR="00F52754">
                    <w:trPr>
                      <w:tblCellSpacing w:w="0" w:type="dxa"/>
                    </w:trPr>
                    <w:tc>
                      <w:tcPr>
                        <w:tcW w:w="0" w:type="auto"/>
                        <w:hideMark/>
                      </w:tcPr>
                      <w:p w:rsidR="00F52754" w:rsidRDefault="00F52754">
                        <w:pPr>
                          <w:rPr>
                            <w:color w:val="808080"/>
                            <w:sz w:val="22"/>
                            <w:szCs w:val="22"/>
                          </w:rPr>
                        </w:pPr>
                        <w:r>
                          <w:rPr>
                            <w:color w:val="808080"/>
                            <w:sz w:val="22"/>
                            <w:szCs w:val="22"/>
                          </w:rPr>
                          <w:t>F: </w:t>
                        </w:r>
                      </w:p>
                    </w:tc>
                    <w:tc>
                      <w:tcPr>
                        <w:tcW w:w="0" w:type="auto"/>
                        <w:hideMark/>
                      </w:tcPr>
                      <w:p w:rsidR="00F52754" w:rsidRDefault="00F52754">
                        <w:pPr>
                          <w:rPr>
                            <w:color w:val="000001"/>
                            <w:sz w:val="22"/>
                            <w:szCs w:val="22"/>
                          </w:rPr>
                        </w:pPr>
                        <w:hyperlink r:id="rId6" w:tgtFrame="_blank" w:history="1">
                          <w:r>
                            <w:rPr>
                              <w:rStyle w:val="Strong"/>
                              <w:b w:val="0"/>
                              <w:bCs w:val="0"/>
                              <w:color w:val="000001"/>
                              <w:sz w:val="22"/>
                              <w:szCs w:val="22"/>
                            </w:rPr>
                            <w:t>01243 531 939</w:t>
                          </w:r>
                        </w:hyperlink>
                      </w:p>
                    </w:tc>
                  </w:tr>
                  <w:tr w:rsidR="00F52754">
                    <w:trPr>
                      <w:tblCellSpacing w:w="0" w:type="dxa"/>
                    </w:trPr>
                    <w:tc>
                      <w:tcPr>
                        <w:tcW w:w="0" w:type="auto"/>
                        <w:hideMark/>
                      </w:tcPr>
                      <w:p w:rsidR="00F52754" w:rsidRDefault="00F52754">
                        <w:pPr>
                          <w:rPr>
                            <w:color w:val="808080"/>
                            <w:sz w:val="22"/>
                            <w:szCs w:val="22"/>
                          </w:rPr>
                        </w:pPr>
                        <w:r>
                          <w:rPr>
                            <w:color w:val="808080"/>
                            <w:sz w:val="22"/>
                            <w:szCs w:val="22"/>
                          </w:rPr>
                          <w:t>@: </w:t>
                        </w:r>
                      </w:p>
                    </w:tc>
                    <w:tc>
                      <w:tcPr>
                        <w:tcW w:w="0" w:type="auto"/>
                        <w:hideMark/>
                      </w:tcPr>
                      <w:p w:rsidR="00F52754" w:rsidRDefault="00F52754">
                        <w:pPr>
                          <w:rPr>
                            <w:color w:val="000001"/>
                            <w:sz w:val="22"/>
                            <w:szCs w:val="22"/>
                          </w:rPr>
                        </w:pPr>
                        <w:hyperlink r:id="rId7" w:tgtFrame="_blank" w:history="1">
                          <w:r>
                            <w:rPr>
                              <w:rStyle w:val="Strong"/>
                              <w:b w:val="0"/>
                              <w:bCs w:val="0"/>
                              <w:color w:val="000001"/>
                              <w:sz w:val="22"/>
                              <w:szCs w:val="22"/>
                            </w:rPr>
                            <w:t>tony@watlingandhirst.com</w:t>
                          </w:r>
                        </w:hyperlink>
                      </w:p>
                    </w:tc>
                  </w:tr>
                  <w:tr w:rsidR="00F52754">
                    <w:trPr>
                      <w:tblCellSpacing w:w="0" w:type="dxa"/>
                    </w:trPr>
                    <w:tc>
                      <w:tcPr>
                        <w:tcW w:w="0" w:type="auto"/>
                        <w:hideMark/>
                      </w:tcPr>
                      <w:p w:rsidR="00F52754" w:rsidRDefault="00F52754">
                        <w:pPr>
                          <w:rPr>
                            <w:color w:val="808080"/>
                            <w:sz w:val="22"/>
                            <w:szCs w:val="22"/>
                          </w:rPr>
                        </w:pPr>
                        <w:r>
                          <w:rPr>
                            <w:color w:val="808080"/>
                            <w:sz w:val="22"/>
                            <w:szCs w:val="22"/>
                          </w:rPr>
                          <w:t>W: </w:t>
                        </w:r>
                      </w:p>
                    </w:tc>
                    <w:tc>
                      <w:tcPr>
                        <w:tcW w:w="0" w:type="auto"/>
                        <w:hideMark/>
                      </w:tcPr>
                      <w:p w:rsidR="00F52754" w:rsidRDefault="00F52754">
                        <w:pPr>
                          <w:rPr>
                            <w:color w:val="000001"/>
                            <w:sz w:val="22"/>
                            <w:szCs w:val="22"/>
                          </w:rPr>
                        </w:pPr>
                        <w:hyperlink r:id="rId8" w:tgtFrame="_blank" w:history="1">
                          <w:r>
                            <w:rPr>
                              <w:rStyle w:val="Strong"/>
                              <w:b w:val="0"/>
                              <w:bCs w:val="0"/>
                              <w:color w:val="000001"/>
                              <w:sz w:val="22"/>
                              <w:szCs w:val="22"/>
                            </w:rPr>
                            <w:t>www.watlingandhirst.com</w:t>
                          </w:r>
                        </w:hyperlink>
                      </w:p>
                    </w:tc>
                  </w:tr>
                </w:tbl>
                <w:p w:rsidR="00F52754" w:rsidRDefault="00F52754">
                  <w:pPr>
                    <w:rPr>
                      <w:rFonts w:ascii="Times New Roman" w:eastAsia="Times New Roman" w:hAnsi="Times New Roman" w:cs="Times New Roman"/>
                    </w:rPr>
                  </w:pPr>
                </w:p>
              </w:tc>
            </w:tr>
          </w:tbl>
          <w:p w:rsidR="00F52754" w:rsidRDefault="00F52754">
            <w:pPr>
              <w:rPr>
                <w:rFonts w:ascii="Times New Roman" w:eastAsia="Times New Roman" w:hAnsi="Times New Roman" w:cs="Times New Roman"/>
              </w:rPr>
            </w:pPr>
          </w:p>
        </w:tc>
      </w:tr>
      <w:tr w:rsidR="00F52754" w:rsidT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5"/>
              <w:gridCol w:w="345"/>
            </w:tblGrid>
            <w:tr w:rsid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5"/>
                  </w:tblGrid>
                  <w:tr w:rsidR="00F52754">
                    <w:trPr>
                      <w:tblCellSpacing w:w="0" w:type="dxa"/>
                    </w:trPr>
                    <w:tc>
                      <w:tcPr>
                        <w:tcW w:w="0" w:type="auto"/>
                        <w:tcMar>
                          <w:top w:w="45" w:type="dxa"/>
                          <w:left w:w="0" w:type="dxa"/>
                          <w:bottom w:w="45" w:type="dxa"/>
                          <w:right w:w="45" w:type="dxa"/>
                        </w:tcMar>
                        <w:hideMark/>
                      </w:tcPr>
                      <w:p w:rsidR="00F52754" w:rsidRDefault="00F52754">
                        <w:pPr>
                          <w:rPr>
                            <w:sz w:val="2"/>
                            <w:szCs w:val="2"/>
                          </w:rPr>
                        </w:pPr>
                        <w:r>
                          <w:rPr>
                            <w:noProof/>
                            <w:color w:val="0563C1"/>
                            <w:sz w:val="2"/>
                            <w:szCs w:val="2"/>
                          </w:rPr>
                          <w:drawing>
                            <wp:inline distT="0" distB="0" distL="0" distR="0">
                              <wp:extent cx="190500" cy="190500"/>
                              <wp:effectExtent l="0" t="0" r="0" b="0"/>
                              <wp:docPr id="3" name="Picture 3"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52754" w:rsidRDefault="00F52754">
                  <w:pPr>
                    <w:rPr>
                      <w:rFonts w:ascii="Times New Roman" w:eastAsia="Times New Roman" w:hAnsi="Times New Roman" w:cs="Times New Roman"/>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5"/>
                  </w:tblGrid>
                  <w:tr w:rsidR="00F52754">
                    <w:trPr>
                      <w:tblCellSpacing w:w="0" w:type="dxa"/>
                    </w:trPr>
                    <w:tc>
                      <w:tcPr>
                        <w:tcW w:w="0" w:type="auto"/>
                        <w:tcMar>
                          <w:top w:w="45" w:type="dxa"/>
                          <w:left w:w="0" w:type="dxa"/>
                          <w:bottom w:w="45" w:type="dxa"/>
                          <w:right w:w="45" w:type="dxa"/>
                        </w:tcMar>
                        <w:hideMark/>
                      </w:tcPr>
                      <w:p w:rsidR="00F52754" w:rsidRDefault="00F52754">
                        <w:pPr>
                          <w:rPr>
                            <w:sz w:val="2"/>
                            <w:szCs w:val="2"/>
                          </w:rPr>
                        </w:pPr>
                        <w:r>
                          <w:rPr>
                            <w:noProof/>
                            <w:color w:val="0563C1"/>
                            <w:sz w:val="2"/>
                            <w:szCs w:val="2"/>
                          </w:rPr>
                          <w:drawing>
                            <wp:inline distT="0" distB="0" distL="0" distR="0">
                              <wp:extent cx="190500" cy="190500"/>
                              <wp:effectExtent l="0" t="0" r="0" b="0"/>
                              <wp:docPr id="2" name="Picture 2" descr="cid:image011373.png@679036F8.E0DBE26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373.png@679036F8.E0DBE26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52754" w:rsidRDefault="00F52754">
                  <w:pPr>
                    <w:rPr>
                      <w:rFonts w:ascii="Times New Roman" w:eastAsia="Times New Roman" w:hAnsi="Times New Roman" w:cs="Times New Roman"/>
                    </w:rPr>
                  </w:pPr>
                </w:p>
              </w:tc>
            </w:tr>
          </w:tbl>
          <w:p w:rsidR="00F52754" w:rsidRDefault="00F52754">
            <w:pPr>
              <w:rPr>
                <w:rFonts w:ascii="Times New Roman" w:eastAsia="Times New Roman" w:hAnsi="Times New Roman" w:cs="Times New Roman"/>
              </w:rPr>
            </w:pPr>
          </w:p>
        </w:tc>
      </w:tr>
      <w:tr w:rsidR="00F52754" w:rsidTr="00F52754">
        <w:trPr>
          <w:tblCellSpacing w:w="0" w:type="dxa"/>
        </w:trPr>
        <w:tc>
          <w:tcPr>
            <w:tcW w:w="0" w:type="auto"/>
            <w:hideMark/>
          </w:tcPr>
          <w:p w:rsidR="00F52754" w:rsidRDefault="00F52754">
            <w:pPr>
              <w:rPr>
                <w:b/>
                <w:bCs/>
                <w:color w:val="00B050"/>
                <w:sz w:val="15"/>
                <w:szCs w:val="15"/>
              </w:rPr>
            </w:pPr>
            <w:r>
              <w:rPr>
                <w:b/>
                <w:bCs/>
                <w:color w:val="00B050"/>
                <w:sz w:val="15"/>
                <w:szCs w:val="15"/>
              </w:rPr>
              <w:t>SAVE PAPER </w:t>
            </w:r>
            <w:r>
              <w:rPr>
                <w:b/>
                <w:bCs/>
                <w:color w:val="00B050"/>
                <w:sz w:val="15"/>
                <w:szCs w:val="15"/>
              </w:rPr>
              <w:noBreakHyphen/>
              <w:t> Please consider the environment before printing this email.</w:t>
            </w:r>
          </w:p>
        </w:tc>
      </w:tr>
      <w:tr w:rsidR="00F52754" w:rsidTr="00F52754">
        <w:trPr>
          <w:tblCellSpacing w:w="0" w:type="dxa"/>
        </w:trPr>
        <w:tc>
          <w:tcPr>
            <w:tcW w:w="0" w:type="auto"/>
            <w:hideMark/>
          </w:tcPr>
          <w:p w:rsidR="00F52754" w:rsidRDefault="00F52754">
            <w:pPr>
              <w:rPr>
                <w:b/>
                <w:bCs/>
                <w:i/>
                <w:iCs/>
                <w:color w:val="E36C09"/>
              </w:rPr>
            </w:pPr>
            <w:r>
              <w:rPr>
                <w:b/>
                <w:bCs/>
                <w:i/>
                <w:iCs/>
                <w:color w:val="E36C09"/>
              </w:rPr>
              <w:t>We grow our business through client referrals. Please don't keep us a secret!</w:t>
            </w:r>
          </w:p>
        </w:tc>
      </w:tr>
      <w:tr w:rsidR="00F52754" w:rsidT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F52754">
              <w:trPr>
                <w:tblCellSpacing w:w="0" w:type="dxa"/>
              </w:trPr>
              <w:tc>
                <w:tcPr>
                  <w:tcW w:w="0" w:type="auto"/>
                  <w:tcMar>
                    <w:top w:w="30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F5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F52754">
                          <w:trPr>
                            <w:tblCellSpacing w:w="0" w:type="dxa"/>
                          </w:trPr>
                          <w:tc>
                            <w:tcPr>
                              <w:tcW w:w="0" w:type="auto"/>
                              <w:tcBorders>
                                <w:top w:val="single" w:sz="8" w:space="0" w:color="C4C4C4"/>
                                <w:left w:val="nil"/>
                                <w:bottom w:val="nil"/>
                                <w:right w:val="nil"/>
                              </w:tcBorders>
                              <w:hideMark/>
                            </w:tcPr>
                            <w:tbl>
                              <w:tblPr>
                                <w:tblW w:w="12000" w:type="dxa"/>
                                <w:tblCellSpacing w:w="0" w:type="dxa"/>
                                <w:tblCellMar>
                                  <w:left w:w="0" w:type="dxa"/>
                                  <w:right w:w="0" w:type="dxa"/>
                                </w:tblCellMar>
                                <w:tblLook w:val="04A0" w:firstRow="1" w:lastRow="0" w:firstColumn="1" w:lastColumn="0" w:noHBand="0" w:noVBand="1"/>
                              </w:tblPr>
                              <w:tblGrid>
                                <w:gridCol w:w="12000"/>
                              </w:tblGrid>
                              <w:tr w:rsidR="00F52754">
                                <w:trPr>
                                  <w:tblCellSpacing w:w="0" w:type="dxa"/>
                                </w:trPr>
                                <w:tc>
                                  <w:tcPr>
                                    <w:tcW w:w="0" w:type="auto"/>
                                    <w:tcMar>
                                      <w:top w:w="0" w:type="dxa"/>
                                      <w:left w:w="0" w:type="dxa"/>
                                      <w:bottom w:w="300" w:type="dxa"/>
                                      <w:right w:w="0" w:type="dxa"/>
                                    </w:tcMar>
                                    <w:vAlign w:val="center"/>
                                    <w:hideMark/>
                                  </w:tcPr>
                                  <w:p w:rsidR="00F52754" w:rsidRDefault="00F52754">
                                    <w:pPr>
                                      <w:rPr>
                                        <w:sz w:val="2"/>
                                        <w:szCs w:val="2"/>
                                      </w:rPr>
                                    </w:pPr>
                                    <w:r>
                                      <w:rPr>
                                        <w:sz w:val="2"/>
                                        <w:szCs w:val="2"/>
                                      </w:rPr>
                                      <w:t> </w:t>
                                    </w:r>
                                  </w:p>
                                </w:tc>
                              </w:tr>
                            </w:tbl>
                            <w:p w:rsidR="00F52754" w:rsidRDefault="00F52754">
                              <w:pPr>
                                <w:rPr>
                                  <w:rFonts w:ascii="Times New Roman" w:eastAsia="Times New Roman" w:hAnsi="Times New Roman" w:cs="Times New Roman"/>
                                </w:rPr>
                              </w:pPr>
                            </w:p>
                          </w:tc>
                        </w:tr>
                      </w:tbl>
                      <w:p w:rsidR="00F52754" w:rsidRDefault="00F52754">
                        <w:pPr>
                          <w:rPr>
                            <w:rFonts w:ascii="Times New Roman" w:eastAsia="Times New Roman" w:hAnsi="Times New Roman" w:cs="Times New Roman"/>
                          </w:rPr>
                        </w:pPr>
                      </w:p>
                    </w:tc>
                  </w:tr>
                  <w:tr w:rsidR="00F52754">
                    <w:trPr>
                      <w:tblCellSpacing w:w="0" w:type="dxa"/>
                    </w:trPr>
                    <w:tc>
                      <w:tcPr>
                        <w:tcW w:w="0" w:type="auto"/>
                        <w:hideMark/>
                      </w:tcPr>
                      <w:p w:rsidR="00F52754" w:rsidRDefault="00F52754">
                        <w:pPr>
                          <w:rPr>
                            <w:sz w:val="2"/>
                            <w:szCs w:val="2"/>
                          </w:rPr>
                        </w:pPr>
                        <w:r>
                          <w:rPr>
                            <w:noProof/>
                            <w:sz w:val="2"/>
                            <w:szCs w:val="2"/>
                          </w:rPr>
                          <w:drawing>
                            <wp:inline distT="0" distB="0" distL="0" distR="0">
                              <wp:extent cx="3573780" cy="571500"/>
                              <wp:effectExtent l="0" t="0" r="7620" b="0"/>
                              <wp:docPr id="1" name="Picture 1" descr="cid:image001.jpg@01D6034B.28B5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034B.28B550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73780" cy="571500"/>
                                      </a:xfrm>
                                      <a:prstGeom prst="rect">
                                        <a:avLst/>
                                      </a:prstGeom>
                                      <a:noFill/>
                                      <a:ln>
                                        <a:noFill/>
                                      </a:ln>
                                    </pic:spPr>
                                  </pic:pic>
                                </a:graphicData>
                              </a:graphic>
                            </wp:inline>
                          </w:drawing>
                        </w:r>
                      </w:p>
                    </w:tc>
                  </w:tr>
                </w:tbl>
                <w:p w:rsidR="00F52754" w:rsidRDefault="00F52754">
                  <w:pPr>
                    <w:rPr>
                      <w:rFonts w:ascii="Times New Roman" w:eastAsia="Times New Roman" w:hAnsi="Times New Roman" w:cs="Times New Roman"/>
                    </w:rPr>
                  </w:pPr>
                </w:p>
              </w:tc>
            </w:tr>
          </w:tbl>
          <w:p w:rsidR="00F52754" w:rsidRDefault="00F52754">
            <w:pPr>
              <w:rPr>
                <w:rFonts w:ascii="Times New Roman" w:eastAsia="Times New Roman" w:hAnsi="Times New Roman" w:cs="Times New Roman"/>
              </w:rPr>
            </w:pPr>
          </w:p>
        </w:tc>
      </w:tr>
      <w:tr w:rsidR="00F52754" w:rsidTr="00F5275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52754">
              <w:trPr>
                <w:tblCellSpacing w:w="0" w:type="dxa"/>
              </w:trPr>
              <w:tc>
                <w:tcPr>
                  <w:tcW w:w="0" w:type="auto"/>
                  <w:vAlign w:val="center"/>
                  <w:hideMark/>
                </w:tcPr>
                <w:p w:rsidR="00F52754" w:rsidRDefault="00F52754">
                  <w:pPr>
                    <w:jc w:val="both"/>
                    <w:rPr>
                      <w:rFonts w:ascii="Verdana" w:hAnsi="Verdana"/>
                      <w:color w:val="BFBFBF"/>
                      <w:sz w:val="22"/>
                      <w:szCs w:val="22"/>
                    </w:rPr>
                  </w:pPr>
                  <w:r>
                    <w:rPr>
                      <w:rFonts w:ascii="Verdana" w:hAnsi="Verdana"/>
                      <w:color w:val="BFBFBF"/>
                      <w:sz w:val="15"/>
                      <w:szCs w:val="15"/>
                    </w:rPr>
                    <w:t xml:space="preserve">Watling &amp; </w:t>
                  </w:r>
                  <w:proofErr w:type="spellStart"/>
                  <w:r>
                    <w:rPr>
                      <w:rFonts w:ascii="Verdana" w:hAnsi="Verdana"/>
                      <w:color w:val="BFBFBF"/>
                      <w:sz w:val="15"/>
                      <w:szCs w:val="15"/>
                    </w:rPr>
                    <w:t>Hirst</w:t>
                  </w:r>
                  <w:proofErr w:type="spellEnd"/>
                  <w:r>
                    <w:rPr>
                      <w:rFonts w:ascii="Verdana" w:hAnsi="Verdana"/>
                      <w:color w:val="BFBFBF"/>
                      <w:sz w:val="15"/>
                      <w:szCs w:val="15"/>
                    </w:rPr>
                    <w:t xml:space="preserve"> Ltd is a limited company registered in England and </w:t>
                  </w:r>
                  <w:proofErr w:type="spellStart"/>
                  <w:r>
                    <w:rPr>
                      <w:rFonts w:ascii="Verdana" w:hAnsi="Verdana"/>
                      <w:color w:val="BFBFBF"/>
                      <w:sz w:val="15"/>
                      <w:szCs w:val="15"/>
                    </w:rPr>
                    <w:t>Wales.Registered</w:t>
                  </w:r>
                  <w:proofErr w:type="spellEnd"/>
                  <w:r>
                    <w:rPr>
                      <w:rFonts w:ascii="Verdana" w:hAnsi="Verdana"/>
                      <w:color w:val="BFBFBF"/>
                      <w:sz w:val="15"/>
                      <w:szCs w:val="15"/>
                    </w:rPr>
                    <w:t xml:space="preserve"> number: 5299757. Registered office: </w:t>
                  </w:r>
                  <w:proofErr w:type="spellStart"/>
                  <w:r>
                    <w:rPr>
                      <w:rFonts w:ascii="Verdana" w:hAnsi="Verdana"/>
                      <w:color w:val="BFBFBF"/>
                      <w:sz w:val="15"/>
                      <w:szCs w:val="15"/>
                    </w:rPr>
                    <w:t>Cawley</w:t>
                  </w:r>
                  <w:proofErr w:type="spellEnd"/>
                  <w:r>
                    <w:rPr>
                      <w:rFonts w:ascii="Verdana" w:hAnsi="Verdana"/>
                      <w:color w:val="BFBFBF"/>
                      <w:sz w:val="15"/>
                      <w:szCs w:val="15"/>
                    </w:rPr>
                    <w:t xml:space="preserve"> Place, 15 </w:t>
                  </w:r>
                  <w:proofErr w:type="spellStart"/>
                  <w:r>
                    <w:rPr>
                      <w:rFonts w:ascii="Verdana" w:hAnsi="Verdana"/>
                      <w:color w:val="BFBFBF"/>
                      <w:sz w:val="15"/>
                      <w:szCs w:val="15"/>
                    </w:rPr>
                    <w:t>Cawley</w:t>
                  </w:r>
                  <w:proofErr w:type="spellEnd"/>
                  <w:r>
                    <w:rPr>
                      <w:rFonts w:ascii="Verdana" w:hAnsi="Verdana"/>
                      <w:color w:val="BFBFBF"/>
                      <w:sz w:val="15"/>
                      <w:szCs w:val="15"/>
                    </w:rPr>
                    <w:t xml:space="preserve"> Road, Chichester, </w:t>
                  </w:r>
                  <w:proofErr w:type="gramStart"/>
                  <w:r>
                    <w:rPr>
                      <w:rFonts w:ascii="Verdana" w:hAnsi="Verdana"/>
                      <w:color w:val="BFBFBF"/>
                      <w:sz w:val="15"/>
                      <w:szCs w:val="15"/>
                    </w:rPr>
                    <w:t>West</w:t>
                  </w:r>
                  <w:proofErr w:type="gramEnd"/>
                  <w:r>
                    <w:rPr>
                      <w:rFonts w:ascii="Verdana" w:hAnsi="Verdana"/>
                      <w:color w:val="BFBFBF"/>
                      <w:sz w:val="15"/>
                      <w:szCs w:val="15"/>
                    </w:rPr>
                    <w:t xml:space="preserve"> Sussex. PO19 1UZ. Please note that Watling &amp; </w:t>
                  </w:r>
                  <w:proofErr w:type="spellStart"/>
                  <w:r>
                    <w:rPr>
                      <w:rFonts w:ascii="Verdana" w:hAnsi="Verdana"/>
                      <w:color w:val="BFBFBF"/>
                      <w:sz w:val="15"/>
                      <w:szCs w:val="15"/>
                    </w:rPr>
                    <w:t>Hirst</w:t>
                  </w:r>
                  <w:proofErr w:type="spellEnd"/>
                  <w:r>
                    <w:rPr>
                      <w:rFonts w:ascii="Verdana" w:hAnsi="Verdana"/>
                      <w:color w:val="BFBFBF"/>
                      <w:sz w:val="15"/>
                      <w:szCs w:val="15"/>
                    </w:rPr>
                    <w:t xml:space="preserve"> Ltd may monitor email traffic data and also the content of email for the purposes of security and staff training.</w:t>
                  </w:r>
                  <w:r>
                    <w:rPr>
                      <w:rFonts w:ascii="Verdana" w:hAnsi="Verdana"/>
                      <w:color w:val="BFBFBF"/>
                      <w:sz w:val="22"/>
                      <w:szCs w:val="22"/>
                    </w:rPr>
                    <w:br/>
                  </w:r>
                  <w:r>
                    <w:rPr>
                      <w:rFonts w:ascii="Verdana" w:hAnsi="Verdana"/>
                      <w:color w:val="BFBFBF"/>
                      <w:sz w:val="15"/>
                      <w:szCs w:val="15"/>
                    </w:rPr>
                    <w:t xml:space="preserve">This message contains confidential information and is intended only for the recipient. If you are not the intended recipient you should not disseminate, distribute or copy this e-mail. Please notify us immediately by e-mail if you have received this e-mail by mistake and delete this e-mail from your system. E-mail transmission cannot be guaranteed to be secure or error-free as information could be intercepted, corrupted, lost, destroyed, arrive late or incomplete, or contain viruses. Watling &amp; </w:t>
                  </w:r>
                  <w:proofErr w:type="spellStart"/>
                  <w:r>
                    <w:rPr>
                      <w:rFonts w:ascii="Verdana" w:hAnsi="Verdana"/>
                      <w:color w:val="BFBFBF"/>
                      <w:sz w:val="15"/>
                      <w:szCs w:val="15"/>
                    </w:rPr>
                    <w:t>Hirst</w:t>
                  </w:r>
                  <w:proofErr w:type="spellEnd"/>
                  <w:r>
                    <w:rPr>
                      <w:rFonts w:ascii="Verdana" w:hAnsi="Verdana"/>
                      <w:color w:val="BFBFBF"/>
                      <w:sz w:val="15"/>
                      <w:szCs w:val="15"/>
                    </w:rPr>
                    <w:t xml:space="preserve"> Ltd therefore does not accept liability for any errors or omissions in the contents of this message, which arise as a result of e-mail transmission. If verification is required please request a hard-copy version.</w:t>
                  </w:r>
                </w:p>
              </w:tc>
            </w:tr>
          </w:tbl>
          <w:p w:rsidR="00F52754" w:rsidRDefault="00F52754">
            <w:pPr>
              <w:rPr>
                <w:rFonts w:ascii="Times New Roman" w:eastAsia="Times New Roman" w:hAnsi="Times New Roman" w:cs="Times New Roman"/>
              </w:rPr>
            </w:pPr>
          </w:p>
        </w:tc>
      </w:tr>
    </w:tbl>
    <w:p w:rsidR="003D7EDE" w:rsidRDefault="003D7EDE"/>
    <w:sectPr w:rsidR="003D7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mialcxe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54"/>
    <w:rsid w:val="003D7EDE"/>
    <w:rsid w:val="00F5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46BB"/>
  <w15:chartTrackingRefBased/>
  <w15:docId w15:val="{D66C47A4-4B63-418C-9592-3A8C7698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54"/>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754"/>
    <w:rPr>
      <w:color w:val="0563C1"/>
      <w:u w:val="single"/>
    </w:rPr>
  </w:style>
  <w:style w:type="character" w:styleId="Strong">
    <w:name w:val="Strong"/>
    <w:basedOn w:val="DefaultParagraphFont"/>
    <w:uiPriority w:val="22"/>
    <w:qFormat/>
    <w:rsid w:val="00F5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watlingandhirst.com%2f&amp;c=E,1,cZsdulQ8dGCB-D8v_Dby4f7ryltlXXeNqr-LsRTHeHPtFj5Ddg8xdOcXu7mya5dyrlsSpX8RzVI4IDZmHm-4KBfUArXOikXb-RYqgKsntjT_qky66HwRgMi8WPya&amp;typo=1"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ny@watlingandhirst.com" TargetMode="External"/><Relationship Id="rId12" Type="http://schemas.openxmlformats.org/officeDocument/2006/relationships/hyperlink" Target="https://plus.google.com/11438364027007336472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1.jpg@01D6034B.28B55010" TargetMode="External"/><Relationship Id="rId1" Type="http://schemas.openxmlformats.org/officeDocument/2006/relationships/styles" Target="styles.xml"/><Relationship Id="rId6" Type="http://schemas.openxmlformats.org/officeDocument/2006/relationships/hyperlink" Target="fax:01243%20531%20939" TargetMode="External"/><Relationship Id="rId11" Type="http://schemas.openxmlformats.org/officeDocument/2006/relationships/image" Target="cid:image868071.png@C8322CA1.6FF5A717" TargetMode="External"/><Relationship Id="rId5" Type="http://schemas.openxmlformats.org/officeDocument/2006/relationships/hyperlink" Target="tel:01243%20783%20818" TargetMode="Externa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hyperlink" Target="https://www.gov.uk/government/news/companies-to-receive-3-month-extension-period-to-file-accounts-during-covid-19" TargetMode="External"/><Relationship Id="rId9" Type="http://schemas.openxmlformats.org/officeDocument/2006/relationships/hyperlink" Target="https://www.facebook.com/watlingandhirst" TargetMode="External"/><Relationship Id="rId14" Type="http://schemas.openxmlformats.org/officeDocument/2006/relationships/image" Target="cid:image011373.png@679036F8.E0DBE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Westcott</dc:creator>
  <cp:keywords/>
  <dc:description/>
  <cp:lastModifiedBy>Sharon Westcott</cp:lastModifiedBy>
  <cp:revision>1</cp:revision>
  <dcterms:created xsi:type="dcterms:W3CDTF">2020-03-26T13:49:00Z</dcterms:created>
  <dcterms:modified xsi:type="dcterms:W3CDTF">2020-03-26T13:50:00Z</dcterms:modified>
</cp:coreProperties>
</file>